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77B12" w:rsidRDefault="00E77B12">
      <w:r w:rsidRPr="00E77B12">
        <w:rPr>
          <w:rFonts w:ascii="Times New Roman" w:hAnsi="Times New Roman" w:cs="Times New Roman"/>
        </w:rPr>
        <w:t xml:space="preserve"> </w:t>
      </w:r>
      <w:r>
        <w:t>ABSTRACT</w:t>
      </w:r>
    </w:p>
    <w:p w:rsidR="00C93CA8" w:rsidRPr="00E77B12" w:rsidRDefault="00E77B12">
      <w:pPr>
        <w:rPr>
          <w:rFonts w:ascii="Times New Roman" w:hAnsi="Times New Roman" w:cs="Times New Roman"/>
        </w:rPr>
      </w:pPr>
      <w:r>
        <w:t xml:space="preserve"> The study is set out to evaluate the effectiveness of internal audit role in the cooperative societies sector. The main objectives will be to find out if independence, qualification and competence of internal auditors hinder their effectiveness. Since time immemorial it has been argued that you may have a qualified and talented staff but who are not competent in carrying out audit work. The study will be conducted on selected cooperatives within </w:t>
      </w:r>
      <w:proofErr w:type="spellStart"/>
      <w:r>
        <w:t>Kakamega</w:t>
      </w:r>
      <w:proofErr w:type="spellEnd"/>
      <w:r>
        <w:t xml:space="preserve"> County and the results will be generalized for all other cooperative societies in Kenya. Data will be collected by use of questionnaires distributed and collected by the researcher himself. The completed questionnaires will be screened for accuracy and completeness and edited and coded where necessary. Thereafter, they will be sorted in accordance with similarity of response given to the different questions.</w:t>
      </w:r>
    </w:p>
    <w:sectPr w:rsidR="00C93CA8" w:rsidRPr="00E77B12" w:rsidSect="00C93CA8">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E77B12"/>
    <w:rsid w:val="00621BF7"/>
    <w:rsid w:val="00C93CA8"/>
    <w:rsid w:val="00E77B1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93CA8"/>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131</Words>
  <Characters>751</Characters>
  <Application>Microsoft Office Word</Application>
  <DocSecurity>0</DocSecurity>
  <Lines>6</Lines>
  <Paragraphs>1</Paragraphs>
  <ScaleCrop>false</ScaleCrop>
  <Company/>
  <LinksUpToDate>false</LinksUpToDate>
  <CharactersWithSpaces>881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mmu</dc:creator>
  <cp:lastModifiedBy>mmu</cp:lastModifiedBy>
  <cp:revision>1</cp:revision>
  <dcterms:created xsi:type="dcterms:W3CDTF">2019-02-14T05:51:00Z</dcterms:created>
  <dcterms:modified xsi:type="dcterms:W3CDTF">2019-02-14T05:53:00Z</dcterms:modified>
</cp:coreProperties>
</file>